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 w:rsidP="00376BF5"/>
    <w:p w:rsidR="001A3801" w:rsidRDefault="00376BF5" w:rsidP="00376BF5">
      <w:r w:rsidRPr="00376BF5">
        <w:rPr>
          <w:noProof/>
          <w:lang w:eastAsia="pl-PL"/>
        </w:rPr>
        <w:drawing>
          <wp:inline distT="0" distB="0" distL="0" distR="0">
            <wp:extent cx="1384062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376BF5" w:rsidRDefault="00376BF5" w:rsidP="001A3801">
      <w:pPr>
        <w:jc w:val="center"/>
      </w:pP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 w:rsidR="0029015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801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PRIORYTETY WYDATKOWANIA KFS W ROKU 202</w:t>
      </w:r>
      <w:r w:rsidR="0029015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zatrudnionych w firmach, które na skutek pandemii COVID-19, musiały podjąć działania w celu dostosowania się do zmienionej sytuacji rynkowej.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29015E" w:rsidP="0029015E">
      <w:pPr>
        <w:pStyle w:val="Akapitzlist"/>
        <w:numPr>
          <w:ilvl w:val="0"/>
          <w:numId w:val="2"/>
        </w:numPr>
        <w:spacing w:before="24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powracających na rynek pracy po przerwie związanej ze sprawowaniem opieki nad dzieckiem.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P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zidentyfikowanych w danym powiecie lub województwie zawodach deficytowych.</w:t>
      </w:r>
    </w:p>
    <w:p w:rsidR="0029015E" w:rsidRPr="00E47319" w:rsidRDefault="0029015E" w:rsidP="0029015E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473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  <w:t>„ Barometr Zawodów Powiat Łęczycki 2022”</w:t>
      </w:r>
    </w:p>
    <w:p w:rsid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pracujących będących członkami rodzin wielodzietnych.</w:t>
      </w:r>
    </w:p>
    <w:p w:rsidR="0029015E" w:rsidRPr="0029015E" w:rsidRDefault="0029015E" w:rsidP="0029015E">
      <w:pPr>
        <w:pStyle w:val="Akapitzlist"/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MRiPS</w:t>
      </w:r>
      <w:proofErr w:type="spellEnd"/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w związku z zastosowaniem w firmach nowych technologii i narzędzi pracy, w tym także technologii i narzędzi cyfrowych oraz podnoszenie kompetencji cyfrowych.</w:t>
      </w:r>
    </w:p>
    <w:p w:rsidR="0029015E" w:rsidRPr="0029015E" w:rsidRDefault="0029015E" w:rsidP="0029015E">
      <w:pPr>
        <w:pStyle w:val="Akapitzlis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9015E" w:rsidRPr="0029015E" w:rsidRDefault="0029015E" w:rsidP="0029015E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0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Wsparcie kształcenia ustawicznego osób pracujących w branży motoryzacyjnej.</w:t>
      </w:r>
    </w:p>
    <w:p w:rsidR="001A3801" w:rsidRDefault="001A3801" w:rsidP="00431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BA" w:rsidRDefault="004315F2" w:rsidP="00251F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51FBA">
        <w:rPr>
          <w:rFonts w:ascii="Times New Roman" w:hAnsi="Times New Roman" w:cs="Times New Roman"/>
          <w:sz w:val="24"/>
          <w:szCs w:val="24"/>
        </w:rPr>
        <w:t xml:space="preserve">skierowany jest do pracodawców, którzy w związku ze zmianami na rynku spowodowanymi pandemią, musieli podjąć działania w celu dostosowania się do nowych warunków. Nabyte nowe umiejętności i uprawnienia umożliwią szybsze reagowanie na zmiany i dostosowanie się do nowych uwarunkowań na rynku. </w:t>
      </w:r>
    </w:p>
    <w:p w:rsidR="004315F2" w:rsidRDefault="00E436F4" w:rsidP="00E436F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FBA">
        <w:rPr>
          <w:rFonts w:ascii="Times New Roman" w:hAnsi="Times New Roman" w:cs="Times New Roman"/>
          <w:sz w:val="24"/>
          <w:szCs w:val="24"/>
        </w:rPr>
        <w:t xml:space="preserve">Dofinansowane formy kształcenia ustawicznego mają wspomagać wprowadzenie zmian umożliwiających utrzymanie się na rynku czy też pozwalających uniknąć zwolnień </w:t>
      </w:r>
      <w:r>
        <w:rPr>
          <w:rFonts w:ascii="Times New Roman" w:hAnsi="Times New Roman" w:cs="Times New Roman"/>
          <w:sz w:val="24"/>
          <w:szCs w:val="24"/>
        </w:rPr>
        <w:t xml:space="preserve">lub wręcz zatrudnić nowych pracowników. </w:t>
      </w:r>
    </w:p>
    <w:p w:rsidR="004315F2" w:rsidRDefault="00E436F4" w:rsidP="00E436F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Warunkiem skorzystania ze środków priorytetu jest oświadczenie pracodawcy </w:t>
      </w:r>
      <w:r w:rsidR="00BC69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konieczności nabycia nowych umiejętności czy kwalifikacji w związku ze zmianami </w:t>
      </w:r>
      <w:r w:rsidR="00BC69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profilu działalności lub poszerzeniem/rozwojem działalności związanych z pandemią COVID – 19. </w:t>
      </w:r>
    </w:p>
    <w:p w:rsidR="004315F2" w:rsidRPr="004315F2" w:rsidRDefault="004315F2" w:rsidP="00431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51FBA">
        <w:rPr>
          <w:rFonts w:ascii="Times New Roman" w:hAnsi="Times New Roman" w:cs="Times New Roman"/>
          <w:sz w:val="24"/>
          <w:szCs w:val="24"/>
        </w:rPr>
        <w:t xml:space="preserve">umożliwia sfinansowanie niezbędnych form kształcenia ustawicznego osobom (matce, ojcu, opiekunowi prawnemu), które powracają na rynek pracy po przerwie spowodowanej </w:t>
      </w:r>
      <w:r w:rsidR="00DA00A3">
        <w:rPr>
          <w:rFonts w:ascii="Times New Roman" w:hAnsi="Times New Roman" w:cs="Times New Roman"/>
          <w:sz w:val="24"/>
          <w:szCs w:val="24"/>
        </w:rPr>
        <w:t>o</w:t>
      </w:r>
      <w:r w:rsidR="00251FBA">
        <w:rPr>
          <w:rFonts w:ascii="Times New Roman" w:hAnsi="Times New Roman" w:cs="Times New Roman"/>
          <w:sz w:val="24"/>
          <w:szCs w:val="24"/>
        </w:rPr>
        <w:t xml:space="preserve">pieką nad dzieckiem. Priorytet adresowany jest przede wszystkim do osób, które w ciągu jednego roku przed datą złożenia wniosku o dofinansowanie podjęły pracę po przerwie spowodowanej sprawowaniem opieki nad dzieckiem. </w:t>
      </w:r>
    </w:p>
    <w:p w:rsidR="00DF5122" w:rsidRDefault="00E436F4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pozwala na sfinansowanie kształcenia ustawicznego w zakresie umiejętności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zawodowych o ile powiązane są one</w:t>
      </w:r>
      <w:r w:rsidR="009201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wykonywaniem pracy w zawodzie deficytowym. </w:t>
      </w:r>
    </w:p>
    <w:p w:rsidR="001307A5" w:rsidRDefault="00E436F4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4 </w:t>
      </w:r>
      <w:r w:rsidR="001307A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7A5">
        <w:rPr>
          <w:rFonts w:ascii="Times New Roman" w:hAnsi="Times New Roman" w:cs="Times New Roman"/>
          <w:sz w:val="24"/>
          <w:szCs w:val="24"/>
        </w:rPr>
        <w:t>skier</w:t>
      </w:r>
      <w:r w:rsidR="0052671C">
        <w:rPr>
          <w:rFonts w:ascii="Times New Roman" w:hAnsi="Times New Roman" w:cs="Times New Roman"/>
          <w:sz w:val="24"/>
          <w:szCs w:val="24"/>
        </w:rPr>
        <w:t>o</w:t>
      </w:r>
      <w:r w:rsidR="001307A5">
        <w:rPr>
          <w:rFonts w:ascii="Times New Roman" w:hAnsi="Times New Roman" w:cs="Times New Roman"/>
          <w:sz w:val="24"/>
          <w:szCs w:val="24"/>
        </w:rPr>
        <w:t xml:space="preserve">wany jest do osób, które mają na utrzymaniu rodziny 3+ bądź są członkami takich rodzin, ma na celu zachęcić te osoby do inwestowania we własne umiejętności </w:t>
      </w:r>
      <w:r w:rsidR="001307A5">
        <w:rPr>
          <w:rFonts w:ascii="Times New Roman" w:hAnsi="Times New Roman" w:cs="Times New Roman"/>
          <w:sz w:val="24"/>
          <w:szCs w:val="24"/>
        </w:rPr>
        <w:br/>
        <w:t>i kompetencje, a przez to dać szanse na utrzymanie miejsca pracy.</w:t>
      </w:r>
    </w:p>
    <w:p w:rsidR="00DE6911" w:rsidRDefault="001307A5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5</w:t>
      </w:r>
      <w:r>
        <w:rPr>
          <w:rFonts w:ascii="Times New Roman" w:hAnsi="Times New Roman" w:cs="Times New Roman"/>
          <w:sz w:val="24"/>
          <w:szCs w:val="24"/>
        </w:rPr>
        <w:t xml:space="preserve"> – adresowany </w:t>
      </w:r>
      <w:r w:rsidR="0052671C">
        <w:rPr>
          <w:rFonts w:ascii="Times New Roman" w:hAnsi="Times New Roman" w:cs="Times New Roman"/>
          <w:sz w:val="24"/>
          <w:szCs w:val="24"/>
        </w:rPr>
        <w:t xml:space="preserve">jest do </w:t>
      </w:r>
      <w:r w:rsidR="00DE691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2671C">
        <w:rPr>
          <w:rFonts w:ascii="Times New Roman" w:hAnsi="Times New Roman" w:cs="Times New Roman"/>
          <w:sz w:val="24"/>
          <w:szCs w:val="24"/>
        </w:rPr>
        <w:t>podmiotów</w:t>
      </w:r>
      <w:r w:rsidR="00DE6911">
        <w:rPr>
          <w:rFonts w:ascii="Times New Roman" w:hAnsi="Times New Roman" w:cs="Times New Roman"/>
          <w:sz w:val="24"/>
          <w:szCs w:val="24"/>
        </w:rPr>
        <w:t>:</w:t>
      </w:r>
    </w:p>
    <w:p w:rsidR="00E436F4" w:rsidRPr="000F57C3" w:rsidRDefault="00D7530D" w:rsidP="00DE6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AD8">
        <w:rPr>
          <w:rFonts w:ascii="Times New Roman" w:hAnsi="Times New Roman" w:cs="Times New Roman"/>
          <w:b/>
          <w:i/>
          <w:sz w:val="24"/>
          <w:szCs w:val="24"/>
        </w:rPr>
        <w:t>Centr</w:t>
      </w:r>
      <w:r w:rsidR="000F57C3">
        <w:rPr>
          <w:rFonts w:ascii="Times New Roman" w:hAnsi="Times New Roman" w:cs="Times New Roman"/>
          <w:b/>
          <w:i/>
          <w:sz w:val="24"/>
          <w:szCs w:val="24"/>
        </w:rPr>
        <w:t>ów</w:t>
      </w:r>
      <w:r w:rsidRPr="00732AD8">
        <w:rPr>
          <w:rFonts w:ascii="Times New Roman" w:hAnsi="Times New Roman" w:cs="Times New Roman"/>
          <w:b/>
          <w:i/>
          <w:sz w:val="24"/>
          <w:szCs w:val="24"/>
        </w:rPr>
        <w:t xml:space="preserve"> Integracji Społecznej i Klub</w:t>
      </w:r>
      <w:r w:rsidR="000F57C3">
        <w:rPr>
          <w:rFonts w:ascii="Times New Roman" w:hAnsi="Times New Roman" w:cs="Times New Roman"/>
          <w:b/>
          <w:i/>
          <w:sz w:val="24"/>
          <w:szCs w:val="24"/>
        </w:rPr>
        <w:t>ów</w:t>
      </w:r>
      <w:r w:rsidRPr="00732AD8">
        <w:rPr>
          <w:rFonts w:ascii="Times New Roman" w:hAnsi="Times New Roman" w:cs="Times New Roman"/>
          <w:b/>
          <w:i/>
          <w:sz w:val="24"/>
          <w:szCs w:val="24"/>
        </w:rPr>
        <w:t xml:space="preserve"> Integracji Społecznej </w:t>
      </w:r>
      <w:r w:rsidR="0003253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732AD8">
        <w:rPr>
          <w:rFonts w:ascii="Times New Roman" w:hAnsi="Times New Roman" w:cs="Times New Roman"/>
          <w:sz w:val="24"/>
          <w:szCs w:val="24"/>
        </w:rPr>
        <w:t xml:space="preserve">to jednostki prowadzone przez Jednostki Samorządu </w:t>
      </w:r>
      <w:r w:rsidR="008D3A19">
        <w:rPr>
          <w:rFonts w:ascii="Times New Roman" w:hAnsi="Times New Roman" w:cs="Times New Roman"/>
          <w:sz w:val="24"/>
          <w:szCs w:val="24"/>
        </w:rPr>
        <w:t xml:space="preserve">Terytorialnego, organizacje pozarządowe, podmioty kościelne lub spółdzielnie socjalne osób prawnych. CIS może prowadzić działalność handlową, wytwórczą bądź też usługową oraz działalność wytwórczą w rolnictwie. </w:t>
      </w:r>
      <w:r w:rsidR="008D3A19">
        <w:rPr>
          <w:rFonts w:ascii="Times New Roman" w:hAnsi="Times New Roman" w:cs="Times New Roman"/>
          <w:sz w:val="24"/>
          <w:szCs w:val="24"/>
        </w:rPr>
        <w:br/>
        <w:t xml:space="preserve">W związku z powyższym Centrum zatrudnia pracowników socjalnych, instruktorów zawodów, pracowników odpowiedzialnych za prowadzenie </w:t>
      </w:r>
      <w:proofErr w:type="spellStart"/>
      <w:r w:rsidR="000F57C3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="000F57C3">
        <w:rPr>
          <w:rFonts w:ascii="Times New Roman" w:hAnsi="Times New Roman" w:cs="Times New Roman"/>
          <w:sz w:val="24"/>
          <w:szCs w:val="24"/>
        </w:rPr>
        <w:t xml:space="preserve"> działalności oraz inne osoby prowadzące reintegrację społeczną i zawodową;</w:t>
      </w:r>
    </w:p>
    <w:p w:rsidR="000F57C3" w:rsidRPr="0003253C" w:rsidRDefault="000F57C3" w:rsidP="00DE6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Warsztatów Terapii Zajęciowej </w:t>
      </w:r>
      <w:r w:rsidR="0003253C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03253C">
        <w:rPr>
          <w:rFonts w:ascii="Times New Roman" w:hAnsi="Times New Roman" w:cs="Times New Roman"/>
          <w:sz w:val="24"/>
          <w:szCs w:val="24"/>
        </w:rPr>
        <w:t xml:space="preserve">tworzone przez stowarzyszenia, fundacje oraz inne podmioty, działające w celu rehabilitacji społecznej i zawodowej osób niepełnosprawnych. W WTZ zatrudnieni są instruktorzy terapii zajęciowej, psycholodzy, specjaliści do spraw rehabilitacji lub rewalidacji, pielęgniarki, lekarze, pracownicy socjalni, instruktorzy zawodów. </w:t>
      </w:r>
    </w:p>
    <w:p w:rsidR="0003253C" w:rsidRPr="0003253C" w:rsidRDefault="0003253C" w:rsidP="00DE6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Przedsiębiorstwa społeczne – </w:t>
      </w:r>
      <w:r>
        <w:rPr>
          <w:rFonts w:ascii="Times New Roman" w:hAnsi="Times New Roman" w:cs="Times New Roman"/>
          <w:sz w:val="24"/>
          <w:szCs w:val="24"/>
        </w:rPr>
        <w:t xml:space="preserve">wpisane na listę przedsiębiorstw społecznych prowadzonych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MRiPS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lista jest dostępna pod adresem: </w:t>
      </w:r>
      <w:hyperlink r:id="rId7" w:history="1">
        <w:r w:rsidRPr="00FF585C">
          <w:rPr>
            <w:rStyle w:val="Hipercze"/>
            <w:rFonts w:ascii="Times New Roman" w:hAnsi="Times New Roman" w:cs="Times New Roman"/>
            <w:sz w:val="24"/>
            <w:szCs w:val="24"/>
          </w:rPr>
          <w:t>http://www.bazaps.ekonomiaspoleczna.gov.pl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formie interaktywnej bazy danych. </w:t>
      </w:r>
    </w:p>
    <w:p w:rsidR="0003253C" w:rsidRPr="009D6387" w:rsidRDefault="0003253C" w:rsidP="00DE6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Spółdzielnie socjalne – </w:t>
      </w:r>
      <w:r>
        <w:rPr>
          <w:rFonts w:ascii="Times New Roman" w:hAnsi="Times New Roman" w:cs="Times New Roman"/>
          <w:sz w:val="24"/>
          <w:szCs w:val="24"/>
        </w:rPr>
        <w:t>podmioty wpisane do Krajowego Rejestru Sądowego</w:t>
      </w:r>
      <w:r w:rsidR="009D6387">
        <w:rPr>
          <w:rFonts w:ascii="Times New Roman" w:hAnsi="Times New Roman" w:cs="Times New Roman"/>
          <w:sz w:val="24"/>
          <w:szCs w:val="24"/>
        </w:rPr>
        <w:t>.</w:t>
      </w:r>
    </w:p>
    <w:p w:rsidR="009D6387" w:rsidRPr="009D6387" w:rsidRDefault="009D6387" w:rsidP="00DE69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Zakłady aktywności zawodowej – </w:t>
      </w:r>
      <w:r>
        <w:rPr>
          <w:rFonts w:ascii="Times New Roman" w:hAnsi="Times New Roman" w:cs="Times New Roman"/>
          <w:sz w:val="24"/>
          <w:szCs w:val="24"/>
        </w:rPr>
        <w:t>to podmioty, które mogą być utworzone przez powiat, gminę, fundację, stowarzyszenie oraz inną organizację społeczną.</w:t>
      </w:r>
    </w:p>
    <w:p w:rsidR="009D6387" w:rsidRPr="009D6387" w:rsidRDefault="009D6387" w:rsidP="009D6387">
      <w:pPr>
        <w:spacing w:line="360" w:lineRule="auto"/>
        <w:ind w:left="4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638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2671C" w:rsidRDefault="0052671C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6</w:t>
      </w:r>
      <w:r>
        <w:rPr>
          <w:rFonts w:ascii="Times New Roman" w:hAnsi="Times New Roman" w:cs="Times New Roman"/>
          <w:sz w:val="24"/>
          <w:szCs w:val="24"/>
        </w:rPr>
        <w:t xml:space="preserve"> – kształcenie ustawiczne w związku </w:t>
      </w:r>
      <w:r w:rsidRPr="0052671C">
        <w:rPr>
          <w:rFonts w:ascii="Times New Roman" w:hAnsi="Times New Roman" w:cs="Times New Roman"/>
          <w:sz w:val="24"/>
          <w:szCs w:val="24"/>
        </w:rPr>
        <w:t>z zastosowaniem w firmach nowych technologii i narzędzi pracy, w tym także technologii i narzędzi cyfrowych oraz podnoszenie kompetencji cyfrowych</w:t>
      </w:r>
      <w:r>
        <w:rPr>
          <w:rFonts w:ascii="Times New Roman" w:hAnsi="Times New Roman" w:cs="Times New Roman"/>
          <w:sz w:val="24"/>
          <w:szCs w:val="24"/>
        </w:rPr>
        <w:t xml:space="preserve"> należy rozumieć technologie, maszyny czy rozwiązania nowe dla wnioskodawcy a nie dla całego rynku. </w:t>
      </w:r>
      <w:r w:rsidR="00DC451D">
        <w:rPr>
          <w:rFonts w:ascii="Times New Roman" w:hAnsi="Times New Roman" w:cs="Times New Roman"/>
          <w:sz w:val="24"/>
          <w:szCs w:val="24"/>
        </w:rPr>
        <w:t xml:space="preserve">Wnioskodawca składając wniosek o dofinansowanie powinien wykazać, że posiadanie konkretnych umiejętności objęte tematyką wnioskowanego szkolenia </w:t>
      </w:r>
      <w:r w:rsidR="00595DD4">
        <w:rPr>
          <w:rFonts w:ascii="Times New Roman" w:hAnsi="Times New Roman" w:cs="Times New Roman"/>
          <w:sz w:val="24"/>
          <w:szCs w:val="24"/>
        </w:rPr>
        <w:t xml:space="preserve">jest powiązane z pracą wykonywaną przez osobę kierowaną na szkolenie. </w:t>
      </w:r>
    </w:p>
    <w:p w:rsidR="00595DD4" w:rsidRDefault="00595DD4" w:rsidP="00E43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7</w:t>
      </w:r>
      <w:r>
        <w:rPr>
          <w:rFonts w:ascii="Times New Roman" w:hAnsi="Times New Roman" w:cs="Times New Roman"/>
          <w:sz w:val="24"/>
          <w:szCs w:val="24"/>
        </w:rPr>
        <w:t xml:space="preserve"> – skierowany do pracodawców i pracowników zatrudnionych w firmach z szeroko rozumianej branży motoryzacyjnej/przemyśle samochodowym. Jest to pojęcie obejmujące spektrum przedsiębiorstw zaangażowanych w projektowanie, produkcję, marketing i sprzedaż samochodów. </w:t>
      </w:r>
    </w:p>
    <w:p w:rsidR="00B04EDD" w:rsidRDefault="00595DD4" w:rsidP="001464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przynależności do branży motoryzacyjnej </w:t>
      </w:r>
      <w:r w:rsidR="00B04EDD">
        <w:rPr>
          <w:rFonts w:ascii="Times New Roman" w:hAnsi="Times New Roman" w:cs="Times New Roman"/>
          <w:sz w:val="24"/>
          <w:szCs w:val="24"/>
        </w:rPr>
        <w:t>decydować będzie posiadanie jako przeważającego (według stanu na 1 stycznia 2022 roku) jednego z poniższych kodów PKD:</w:t>
      </w:r>
    </w:p>
    <w:p w:rsidR="00595DD4" w:rsidRPr="00146485" w:rsidRDefault="00B04EDD" w:rsidP="003F79D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85">
        <w:rPr>
          <w:rFonts w:ascii="Times New Roman" w:hAnsi="Times New Roman" w:cs="Times New Roman"/>
          <w:sz w:val="24"/>
          <w:szCs w:val="24"/>
        </w:rPr>
        <w:t>Dział C.22 Produkcja wyrobów z gumy i tworzyw sztucznych;</w:t>
      </w:r>
    </w:p>
    <w:p w:rsidR="00F122B5" w:rsidRPr="00146485" w:rsidRDefault="00B04EDD" w:rsidP="003F79D7">
      <w:pPr>
        <w:pStyle w:val="Default"/>
        <w:tabs>
          <w:tab w:val="left" w:pos="567"/>
        </w:tabs>
        <w:spacing w:after="240" w:line="276" w:lineRule="auto"/>
        <w:jc w:val="both"/>
      </w:pPr>
      <w:r w:rsidRPr="00146485">
        <w:t>PKD 22.11.Z Produkcja opon i dętek z gumy; bieżnikowanie i regenerowanie opon z gumy</w:t>
      </w:r>
      <w:r w:rsidR="00F122B5" w:rsidRPr="00146485">
        <w:t>;</w:t>
      </w:r>
    </w:p>
    <w:p w:rsidR="00B04EDD" w:rsidRPr="00146485" w:rsidRDefault="00F122B5" w:rsidP="003F79D7">
      <w:pPr>
        <w:pStyle w:val="Default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146485">
        <w:t xml:space="preserve"> </w:t>
      </w:r>
      <w:r w:rsidR="00B04EDD" w:rsidRPr="00146485">
        <w:t xml:space="preserve">Dział C.29 Produkcja pojazdów samochodowych, przyczep i naczep, wyjątkiem motocykli: </w:t>
      </w:r>
    </w:p>
    <w:p w:rsidR="00B04EDD" w:rsidRPr="00146485" w:rsidRDefault="00B04EDD" w:rsidP="003F79D7">
      <w:pPr>
        <w:pStyle w:val="Default"/>
        <w:spacing w:line="276" w:lineRule="auto"/>
        <w:jc w:val="both"/>
      </w:pPr>
      <w:r w:rsidRPr="00146485">
        <w:t xml:space="preserve">PKD 29.10.A Produkcja silników do pojazdów samochodowych (z wyłączeniem motocykli) </w:t>
      </w:r>
      <w:r w:rsidR="00146485">
        <w:br/>
        <w:t xml:space="preserve">                       </w:t>
      </w:r>
      <w:r w:rsidRPr="00146485">
        <w:t>oraz do ciągników rolniczych</w:t>
      </w:r>
      <w:r w:rsidR="00146485">
        <w:t>;</w:t>
      </w:r>
      <w:r w:rsidRPr="00146485">
        <w:t xml:space="preserve"> </w:t>
      </w:r>
    </w:p>
    <w:p w:rsidR="00B04EDD" w:rsidRPr="00146485" w:rsidRDefault="00B04EDD" w:rsidP="003F79D7">
      <w:pPr>
        <w:pStyle w:val="Default"/>
        <w:spacing w:line="276" w:lineRule="auto"/>
        <w:jc w:val="both"/>
      </w:pPr>
      <w:r w:rsidRPr="00146485">
        <w:t>PKD 29.10.B Produkcja samochodów osobowych</w:t>
      </w:r>
      <w:r w:rsidR="00146485">
        <w:t>;</w:t>
      </w:r>
      <w:r w:rsidRPr="00146485">
        <w:t xml:space="preserve"> </w:t>
      </w:r>
    </w:p>
    <w:p w:rsidR="00B04EDD" w:rsidRPr="00826DF4" w:rsidRDefault="00146485" w:rsidP="003F79D7">
      <w:pPr>
        <w:pStyle w:val="Default"/>
        <w:spacing w:line="276" w:lineRule="auto"/>
        <w:jc w:val="both"/>
      </w:pPr>
      <w:r>
        <w:t>PKD 29.10.C Produkcja autobusów;</w:t>
      </w:r>
    </w:p>
    <w:p w:rsidR="00B04EDD" w:rsidRPr="00826DF4" w:rsidRDefault="00B04EDD" w:rsidP="003F79D7">
      <w:pPr>
        <w:pStyle w:val="Default"/>
        <w:spacing w:line="276" w:lineRule="auto"/>
        <w:jc w:val="both"/>
      </w:pPr>
      <w:r w:rsidRPr="00826DF4">
        <w:t>PKD 29.10.D Produkcja pojazdów samochodowych przeznaczonych do przewozu towarów</w:t>
      </w:r>
      <w:r w:rsidR="00146485">
        <w:t>;</w:t>
      </w:r>
      <w:r w:rsidRPr="00826DF4">
        <w:t xml:space="preserve"> </w:t>
      </w:r>
    </w:p>
    <w:p w:rsidR="00B04EDD" w:rsidRPr="00826DF4" w:rsidRDefault="00B04EDD" w:rsidP="003F79D7">
      <w:pPr>
        <w:pStyle w:val="Default"/>
        <w:spacing w:line="276" w:lineRule="auto"/>
        <w:jc w:val="both"/>
      </w:pPr>
      <w:r w:rsidRPr="00826DF4">
        <w:t>PKD 29.10.E Produkcja pozostałych pojazdów samocho</w:t>
      </w:r>
      <w:r w:rsidR="00146485">
        <w:t>dowych, z wyłączeniem motocykli;</w:t>
      </w:r>
    </w:p>
    <w:p w:rsidR="00B04EDD" w:rsidRPr="00826DF4" w:rsidRDefault="00B04EDD" w:rsidP="003F79D7">
      <w:pPr>
        <w:pStyle w:val="Default"/>
        <w:spacing w:line="276" w:lineRule="auto"/>
        <w:jc w:val="both"/>
      </w:pPr>
      <w:r w:rsidRPr="00826DF4">
        <w:t>PKD 29.20.Z Produkcja nadwozi do pojazdów silnikowy</w:t>
      </w:r>
      <w:r w:rsidR="00146485">
        <w:t>ch; produkcja przyczep i naczep;</w:t>
      </w:r>
    </w:p>
    <w:p w:rsidR="00B04EDD" w:rsidRPr="00826DF4" w:rsidRDefault="00B04EDD" w:rsidP="003F79D7">
      <w:pPr>
        <w:pStyle w:val="Default"/>
        <w:spacing w:line="276" w:lineRule="auto"/>
        <w:jc w:val="both"/>
      </w:pPr>
      <w:r w:rsidRPr="00826DF4">
        <w:t xml:space="preserve">PKD 29.31.Z Produkcja wyposażenia elektrycznego i elektronicznego do pojazdów </w:t>
      </w:r>
      <w:r w:rsidR="00146485">
        <w:br/>
        <w:t xml:space="preserve">                          </w:t>
      </w:r>
      <w:r w:rsidRPr="00826DF4">
        <w:t>silnikowych</w:t>
      </w:r>
      <w:r w:rsidR="00146485">
        <w:t>;</w:t>
      </w:r>
      <w:r w:rsidRPr="00826DF4">
        <w:t xml:space="preserve"> </w:t>
      </w:r>
    </w:p>
    <w:p w:rsidR="00B04EDD" w:rsidRPr="00826DF4" w:rsidRDefault="00B04EDD" w:rsidP="003F79D7">
      <w:pPr>
        <w:pStyle w:val="Default"/>
        <w:spacing w:line="276" w:lineRule="auto"/>
        <w:jc w:val="both"/>
      </w:pPr>
      <w:r w:rsidRPr="00826DF4">
        <w:t xml:space="preserve">PKD 29.32.Z Produkcja pozostałych części i akcesoriów do pojazdów silnikowych, </w:t>
      </w:r>
      <w:r w:rsidR="00856012">
        <w:br/>
        <w:t xml:space="preserve">                          </w:t>
      </w:r>
      <w:r w:rsidRPr="00826DF4">
        <w:t xml:space="preserve">z </w:t>
      </w:r>
      <w:r w:rsidR="00146485">
        <w:t>wyłączeniem motocykli;</w:t>
      </w:r>
    </w:p>
    <w:p w:rsidR="00826DF4" w:rsidRDefault="00826DF4" w:rsidP="003F79D7">
      <w:pPr>
        <w:pStyle w:val="Default"/>
        <w:jc w:val="both"/>
        <w:rPr>
          <w:sz w:val="23"/>
          <w:szCs w:val="23"/>
        </w:rPr>
      </w:pPr>
    </w:p>
    <w:p w:rsidR="00B04EDD" w:rsidRPr="00146485" w:rsidRDefault="00B04EDD" w:rsidP="00146485">
      <w:pPr>
        <w:pStyle w:val="Default"/>
        <w:numPr>
          <w:ilvl w:val="0"/>
          <w:numId w:val="4"/>
        </w:numPr>
        <w:spacing w:line="276" w:lineRule="auto"/>
      </w:pPr>
      <w:r w:rsidRPr="00146485">
        <w:t xml:space="preserve">Dział C.30 Produkcja pozostałego sprzętu transportowego: </w:t>
      </w:r>
    </w:p>
    <w:p w:rsidR="00B04EDD" w:rsidRPr="00146485" w:rsidRDefault="00B04EDD" w:rsidP="00146485">
      <w:pPr>
        <w:pStyle w:val="Default"/>
        <w:spacing w:line="276" w:lineRule="auto"/>
      </w:pPr>
      <w:r w:rsidRPr="00146485">
        <w:t>PKD 30.9</w:t>
      </w:r>
      <w:r w:rsidR="00146485" w:rsidRPr="00146485">
        <w:t>1.Z Produkcja motocykli;</w:t>
      </w:r>
    </w:p>
    <w:p w:rsidR="00146485" w:rsidRDefault="00146485" w:rsidP="00B04EDD">
      <w:pPr>
        <w:pStyle w:val="Default"/>
        <w:rPr>
          <w:sz w:val="23"/>
          <w:szCs w:val="23"/>
        </w:rPr>
      </w:pPr>
    </w:p>
    <w:p w:rsidR="00B04EDD" w:rsidRDefault="00B04EDD" w:rsidP="003F79D7">
      <w:pPr>
        <w:pStyle w:val="Default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Dział G.45 Handel hurtowy i detaliczny pojazdami samochodowymi, naprawa </w:t>
      </w:r>
      <w:r w:rsidR="003F79D7">
        <w:rPr>
          <w:sz w:val="23"/>
          <w:szCs w:val="23"/>
        </w:rPr>
        <w:br/>
        <w:t xml:space="preserve">    p</w:t>
      </w:r>
      <w:r>
        <w:rPr>
          <w:sz w:val="23"/>
          <w:szCs w:val="23"/>
        </w:rPr>
        <w:t xml:space="preserve">ojazdów samochodowych: 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PKD 45.11.Z Sprzedaż hurtowa i detaliczna sa</w:t>
      </w:r>
      <w:r w:rsidR="003F79D7">
        <w:rPr>
          <w:sz w:val="23"/>
          <w:szCs w:val="23"/>
        </w:rPr>
        <w:t>mochodów osobowych i furgonetek;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PKD 45.19.Z Sprzedaż hurtowa i detaliczna pozostałych pojazdów samochodowych, </w:t>
      </w:r>
      <w:r w:rsidR="003F79D7">
        <w:rPr>
          <w:sz w:val="23"/>
          <w:szCs w:val="23"/>
        </w:rPr>
        <w:br/>
        <w:t xml:space="preserve">                        z wyłączeniem motocykli;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PKD 45.20.Z Konserwacja i naprawa pojazdów samocho</w:t>
      </w:r>
      <w:r w:rsidR="003F79D7">
        <w:rPr>
          <w:sz w:val="23"/>
          <w:szCs w:val="23"/>
        </w:rPr>
        <w:t>dowych, z wyłączeniem motocykli;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PKD 45.31.Z Sprzedaż hurtowa części i akcesoriów do pojazdów samochodowych, </w:t>
      </w:r>
      <w:r w:rsidR="003F79D7">
        <w:rPr>
          <w:sz w:val="23"/>
          <w:szCs w:val="23"/>
        </w:rPr>
        <w:br/>
        <w:t xml:space="preserve">                        z wyłączeniem motocykli;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PKD 45.32.Z Sprzedaż detaliczna części i akcesoriów do pojazdów samochodowych, </w:t>
      </w:r>
      <w:r w:rsidR="003F79D7">
        <w:rPr>
          <w:sz w:val="23"/>
          <w:szCs w:val="23"/>
        </w:rPr>
        <w:br/>
        <w:t xml:space="preserve">                        z wyłączeniem motocykli;</w:t>
      </w:r>
    </w:p>
    <w:p w:rsidR="00B04EDD" w:rsidRDefault="00B04EDD" w:rsidP="003F79D7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PKD 45. 40.Z Sprzedaż hurtowa i detaliczna motocykli, ich naprawa i konserwacja oraz sprzedaż </w:t>
      </w:r>
      <w:r w:rsidR="003F79D7">
        <w:rPr>
          <w:sz w:val="23"/>
          <w:szCs w:val="23"/>
        </w:rPr>
        <w:br/>
        <w:t xml:space="preserve">                        </w:t>
      </w:r>
      <w:r>
        <w:rPr>
          <w:sz w:val="23"/>
          <w:szCs w:val="23"/>
        </w:rPr>
        <w:t>hurtowa i detalic</w:t>
      </w:r>
      <w:r w:rsidR="003F79D7">
        <w:rPr>
          <w:sz w:val="23"/>
          <w:szCs w:val="23"/>
        </w:rPr>
        <w:t>zna części i akcesoriów do nich.</w:t>
      </w:r>
    </w:p>
    <w:p w:rsidR="003F79D7" w:rsidRDefault="003F79D7" w:rsidP="00B04EDD">
      <w:pPr>
        <w:pStyle w:val="Default"/>
        <w:rPr>
          <w:sz w:val="23"/>
          <w:szCs w:val="23"/>
        </w:rPr>
      </w:pPr>
    </w:p>
    <w:p w:rsidR="003F79D7" w:rsidRDefault="00B04EDD" w:rsidP="00B04E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 wsparcia w ramach priorytetu mogą skorzystać także firmy posiadające przeważający (według stanu na 1 stycznia 2022 roku) jeden z poniższych kodów PKD, o ile prowadzą </w:t>
      </w:r>
      <w:r w:rsidR="003F79D7">
        <w:rPr>
          <w:sz w:val="23"/>
          <w:szCs w:val="23"/>
        </w:rPr>
        <w:t>produkcję dla branży motoryzacyjnej (co powinno być przedmiotem oświadczenia podmiotu wnioskującego o środki KFS):</w:t>
      </w:r>
    </w:p>
    <w:p w:rsidR="00B04EDD" w:rsidRDefault="003F79D7" w:rsidP="00391E1B">
      <w:pPr>
        <w:pStyle w:val="Default"/>
        <w:numPr>
          <w:ilvl w:val="0"/>
          <w:numId w:val="4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Dział C.27 Produkcja urządzeń elektrycznych</w:t>
      </w:r>
    </w:p>
    <w:p w:rsidR="003F79D7" w:rsidRDefault="00391E1B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27.11.Z Produkcja elektrycznych silników, prądnic i transformatorów</w:t>
      </w:r>
    </w:p>
    <w:p w:rsidR="00391E1B" w:rsidRDefault="00391E1B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27.12.Z Produkcja aparatury rozdzielczej i sterowniczej energii elektrycznej;</w:t>
      </w:r>
    </w:p>
    <w:p w:rsidR="00391E1B" w:rsidRDefault="00391E1B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27.20.Z Produkcja baterii i akumulatorów;</w:t>
      </w:r>
    </w:p>
    <w:p w:rsidR="00391E1B" w:rsidRDefault="00391E1B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27.40.Z Produkcja elektrycznego sprzętu oświetleniowego;</w:t>
      </w:r>
    </w:p>
    <w:p w:rsidR="00391E1B" w:rsidRDefault="00391E1B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27.90.Z Produkcja pozostałego sprzętu elektrycznego.</w:t>
      </w:r>
    </w:p>
    <w:p w:rsidR="00391E1B" w:rsidRDefault="00391E1B" w:rsidP="00391E1B">
      <w:pPr>
        <w:pStyle w:val="Default"/>
        <w:spacing w:line="276" w:lineRule="auto"/>
        <w:rPr>
          <w:sz w:val="23"/>
          <w:szCs w:val="23"/>
        </w:rPr>
      </w:pPr>
    </w:p>
    <w:p w:rsidR="00391E1B" w:rsidRDefault="00391E1B" w:rsidP="00391E1B">
      <w:pPr>
        <w:pStyle w:val="Default"/>
        <w:numPr>
          <w:ilvl w:val="0"/>
          <w:numId w:val="4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Dział C.28 Produkcja maszyn i urządzeń, gdzie indziej niesklasyfikowana</w:t>
      </w:r>
    </w:p>
    <w:p w:rsidR="00391E1B" w:rsidRDefault="00803D1E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PKD 28.15.Z Produkcja łożysk, kół zębatych, przekładni zębatych i elementów napędowych.</w:t>
      </w:r>
    </w:p>
    <w:p w:rsidR="00803D1E" w:rsidRDefault="00803D1E" w:rsidP="00391E1B">
      <w:pPr>
        <w:pStyle w:val="Default"/>
        <w:spacing w:line="276" w:lineRule="auto"/>
        <w:rPr>
          <w:sz w:val="23"/>
          <w:szCs w:val="23"/>
        </w:rPr>
      </w:pPr>
    </w:p>
    <w:p w:rsidR="00803D1E" w:rsidRDefault="00803D1E" w:rsidP="00391E1B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Warunkiem skorzystania z </w:t>
      </w:r>
      <w:proofErr w:type="spellStart"/>
      <w:r>
        <w:rPr>
          <w:sz w:val="23"/>
          <w:szCs w:val="23"/>
        </w:rPr>
        <w:t>ww</w:t>
      </w:r>
      <w:proofErr w:type="spellEnd"/>
      <w:r>
        <w:rPr>
          <w:sz w:val="23"/>
          <w:szCs w:val="23"/>
        </w:rPr>
        <w:t xml:space="preserve"> priorytetu jest posiadanie odpowiedniego kodu PKD oraz zawarte we wniosku o dofinansowanie wiarygodne uzasadnienie konieczności nabycia nowych umiejętności.</w:t>
      </w:r>
    </w:p>
    <w:p w:rsidR="00B04EDD" w:rsidRDefault="00B04EDD" w:rsidP="00B04EDD">
      <w:pPr>
        <w:pStyle w:val="Default"/>
        <w:rPr>
          <w:color w:val="auto"/>
        </w:rPr>
      </w:pPr>
    </w:p>
    <w:sectPr w:rsidR="00B04EDD" w:rsidSect="004315F2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2AC"/>
    <w:multiLevelType w:val="hybridMultilevel"/>
    <w:tmpl w:val="02C21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B7053"/>
    <w:multiLevelType w:val="hybridMultilevel"/>
    <w:tmpl w:val="689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BB6"/>
    <w:multiLevelType w:val="hybridMultilevel"/>
    <w:tmpl w:val="DF24F3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F557C2"/>
    <w:multiLevelType w:val="hybridMultilevel"/>
    <w:tmpl w:val="83B2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3333C"/>
    <w:multiLevelType w:val="hybridMultilevel"/>
    <w:tmpl w:val="7E249B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3253C"/>
    <w:rsid w:val="00067645"/>
    <w:rsid w:val="000F57C3"/>
    <w:rsid w:val="001307A5"/>
    <w:rsid w:val="00146485"/>
    <w:rsid w:val="0015036A"/>
    <w:rsid w:val="001A3801"/>
    <w:rsid w:val="001D7797"/>
    <w:rsid w:val="001E548F"/>
    <w:rsid w:val="00251FBA"/>
    <w:rsid w:val="0029015E"/>
    <w:rsid w:val="002C5A47"/>
    <w:rsid w:val="00312A72"/>
    <w:rsid w:val="00376BF5"/>
    <w:rsid w:val="00391E1B"/>
    <w:rsid w:val="003B1654"/>
    <w:rsid w:val="003F79D7"/>
    <w:rsid w:val="00427F35"/>
    <w:rsid w:val="004315F2"/>
    <w:rsid w:val="004D1120"/>
    <w:rsid w:val="0052671C"/>
    <w:rsid w:val="00595DD4"/>
    <w:rsid w:val="005D66CA"/>
    <w:rsid w:val="00732AD8"/>
    <w:rsid w:val="00803D1E"/>
    <w:rsid w:val="00826DF4"/>
    <w:rsid w:val="00856012"/>
    <w:rsid w:val="0085606E"/>
    <w:rsid w:val="008B6316"/>
    <w:rsid w:val="008D3A19"/>
    <w:rsid w:val="00920127"/>
    <w:rsid w:val="009D6387"/>
    <w:rsid w:val="00A94504"/>
    <w:rsid w:val="00B04EDD"/>
    <w:rsid w:val="00BC6975"/>
    <w:rsid w:val="00C34690"/>
    <w:rsid w:val="00CE19C1"/>
    <w:rsid w:val="00D7530D"/>
    <w:rsid w:val="00DA00A3"/>
    <w:rsid w:val="00DC451D"/>
    <w:rsid w:val="00DE6911"/>
    <w:rsid w:val="00DF5122"/>
    <w:rsid w:val="00E436F4"/>
    <w:rsid w:val="00E47319"/>
    <w:rsid w:val="00EB0B42"/>
    <w:rsid w:val="00F122B5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DF5122"/>
    <w:pPr>
      <w:ind w:left="720"/>
      <w:contextualSpacing/>
    </w:pPr>
  </w:style>
  <w:style w:type="paragraph" w:customStyle="1" w:styleId="Default">
    <w:name w:val="Default"/>
    <w:rsid w:val="00B0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zaps.ekonomiaspoleczn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F212-54CF-48B9-BD4A-83D24DCA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20</cp:revision>
  <cp:lastPrinted>2022-01-27T09:15:00Z</cp:lastPrinted>
  <dcterms:created xsi:type="dcterms:W3CDTF">2017-02-21T13:50:00Z</dcterms:created>
  <dcterms:modified xsi:type="dcterms:W3CDTF">2022-01-27T09:15:00Z</dcterms:modified>
</cp:coreProperties>
</file>